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21306C"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GoBack"/>
      <w:bookmarkEnd w:id="0"/>
      <w:r w:rsidRPr="008E536E">
        <w:rPr>
          <w:rFonts w:ascii="Times New Roman" w:eastAsia="Times New Roman" w:hAnsi="Times New Roman" w:cs="Times New Roman"/>
          <w:b/>
          <w:bCs/>
          <w:sz w:val="24"/>
          <w:szCs w:val="24"/>
        </w:rPr>
        <w:t>GEORGIA POWER COMPANY</w:t>
      </w:r>
    </w:p>
    <w:p w14:paraId="4A4B5E2D" w14:textId="77777777"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3643BE">
        <w:rPr>
          <w:rFonts w:ascii="Times New Roman" w:eastAsia="Times New Roman" w:hAnsi="Times New Roman" w:cs="Times New Roman"/>
          <w:b/>
          <w:bCs/>
          <w:color w:val="000000"/>
          <w:sz w:val="24"/>
          <w:szCs w:val="24"/>
        </w:rPr>
        <w:t>36989</w:t>
      </w:r>
    </w:p>
    <w:p w14:paraId="4868AE01" w14:textId="6F2BB4B5" w:rsidR="009E55DB" w:rsidRPr="009E55DB" w:rsidRDefault="00077E11" w:rsidP="009E55D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Georgia Power Company’s 201</w:t>
      </w:r>
      <w:r w:rsidR="00B857C2">
        <w:rPr>
          <w:rFonts w:ascii="Times New Roman" w:eastAsia="Times New Roman" w:hAnsi="Times New Roman" w:cs="Times New Roman"/>
          <w:b/>
          <w:bCs/>
          <w:sz w:val="24"/>
          <w:szCs w:val="24"/>
        </w:rPr>
        <w:t>9</w:t>
      </w:r>
      <w:r w:rsidR="009E55DB" w:rsidRPr="009E55DB">
        <w:rPr>
          <w:rFonts w:ascii="Times New Roman" w:eastAsia="Times New Roman" w:hAnsi="Times New Roman" w:cs="Times New Roman"/>
          <w:b/>
          <w:bCs/>
          <w:sz w:val="24"/>
          <w:szCs w:val="24"/>
        </w:rPr>
        <w:t xml:space="preserve"> Annual Surveillance Report</w:t>
      </w:r>
    </w:p>
    <w:p w14:paraId="72E8250A" w14:textId="6FF10A7E" w:rsidR="008E536E" w:rsidRDefault="008E536E" w:rsidP="00EC4155">
      <w:pPr>
        <w:tabs>
          <w:tab w:val="center" w:pos="4320"/>
          <w:tab w:val="right" w:pos="8640"/>
        </w:tabs>
        <w:spacing w:after="0" w:line="240" w:lineRule="auto"/>
        <w:jc w:val="center"/>
        <w:rPr>
          <w:rFonts w:ascii="Times New Roman" w:eastAsia="Times New Roman" w:hAnsi="Times New Roman" w:cs="Times New Roman"/>
          <w:b/>
          <w:bCs/>
          <w:sz w:val="24"/>
          <w:szCs w:val="24"/>
        </w:rPr>
      </w:pPr>
      <w:r w:rsidRPr="008E536E">
        <w:rPr>
          <w:rFonts w:ascii="Times New Roman" w:eastAsia="Times New Roman" w:hAnsi="Times New Roman" w:cs="Times New Roman"/>
          <w:b/>
          <w:bCs/>
          <w:sz w:val="24"/>
          <w:szCs w:val="24"/>
        </w:rPr>
        <w:t>Staff Data Request No</w:t>
      </w:r>
      <w:r w:rsidR="006F10E6">
        <w:rPr>
          <w:rFonts w:ascii="Times New Roman" w:eastAsia="Times New Roman" w:hAnsi="Times New Roman" w:cs="Times New Roman"/>
          <w:b/>
          <w:bCs/>
          <w:sz w:val="24"/>
          <w:szCs w:val="24"/>
        </w:rPr>
        <w:t>.</w:t>
      </w:r>
      <w:r w:rsidR="00EA3163">
        <w:rPr>
          <w:rFonts w:ascii="Times New Roman" w:eastAsia="Times New Roman" w:hAnsi="Times New Roman" w:cs="Times New Roman"/>
          <w:b/>
          <w:bCs/>
          <w:sz w:val="24"/>
          <w:szCs w:val="24"/>
        </w:rPr>
        <w:t xml:space="preserve"> STF-</w:t>
      </w:r>
      <w:r w:rsidR="00EB6339">
        <w:rPr>
          <w:rFonts w:ascii="Times New Roman" w:eastAsia="Times New Roman" w:hAnsi="Times New Roman" w:cs="Times New Roman"/>
          <w:b/>
          <w:bCs/>
          <w:sz w:val="24"/>
          <w:szCs w:val="24"/>
        </w:rPr>
        <w:t>ASR-</w:t>
      </w:r>
      <w:r w:rsidR="00B55709">
        <w:rPr>
          <w:rFonts w:ascii="Times New Roman" w:eastAsia="Times New Roman" w:hAnsi="Times New Roman" w:cs="Times New Roman"/>
          <w:b/>
          <w:bCs/>
          <w:sz w:val="24"/>
          <w:szCs w:val="24"/>
        </w:rPr>
        <w:t>6</w:t>
      </w:r>
      <w:r w:rsidR="00C9421E">
        <w:rPr>
          <w:rFonts w:ascii="Times New Roman" w:eastAsia="Times New Roman" w:hAnsi="Times New Roman" w:cs="Times New Roman"/>
          <w:b/>
          <w:bCs/>
          <w:sz w:val="24"/>
          <w:szCs w:val="24"/>
        </w:rPr>
        <w:t>5</w:t>
      </w:r>
    </w:p>
    <w:p w14:paraId="4EE1F82D" w14:textId="77777777" w:rsidR="000A01D0" w:rsidRDefault="000A01D0" w:rsidP="000A01D0">
      <w:pPr>
        <w:spacing w:after="0" w:line="240" w:lineRule="auto"/>
        <w:jc w:val="center"/>
        <w:rPr>
          <w:rFonts w:ascii="Times New Roman" w:eastAsia="Times New Roman" w:hAnsi="Times New Roman" w:cs="Times New Roman"/>
          <w:b/>
          <w:sz w:val="24"/>
          <w:szCs w:val="24"/>
        </w:rPr>
      </w:pPr>
    </w:p>
    <w:p w14:paraId="4DFAC6D1" w14:textId="77777777" w:rsidR="008623CD" w:rsidRDefault="008623CD" w:rsidP="000A01D0">
      <w:pPr>
        <w:spacing w:after="0" w:line="240" w:lineRule="auto"/>
        <w:jc w:val="center"/>
        <w:rPr>
          <w:rFonts w:ascii="Times New Roman" w:eastAsia="Times New Roman" w:hAnsi="Times New Roman" w:cs="Times New Roman"/>
          <w:b/>
          <w:sz w:val="24"/>
          <w:szCs w:val="24"/>
        </w:rPr>
      </w:pPr>
    </w:p>
    <w:p w14:paraId="28AA0C0E" w14:textId="77777777" w:rsidR="000A01D0" w:rsidRPr="00F22B26" w:rsidRDefault="000A01D0" w:rsidP="000A01D0">
      <w:pPr>
        <w:spacing w:after="0" w:line="240" w:lineRule="auto"/>
        <w:jc w:val="center"/>
        <w:rPr>
          <w:rFonts w:ascii="Times New Roman" w:eastAsia="Times New Roman" w:hAnsi="Times New Roman" w:cs="Times New Roman"/>
          <w:b/>
          <w:sz w:val="24"/>
          <w:szCs w:val="24"/>
        </w:rPr>
      </w:pPr>
      <w:r w:rsidRPr="00F22B26">
        <w:rPr>
          <w:rFonts w:ascii="Times New Roman" w:eastAsia="Times New Roman" w:hAnsi="Times New Roman" w:cs="Times New Roman"/>
          <w:b/>
          <w:sz w:val="24"/>
          <w:szCs w:val="24"/>
        </w:rPr>
        <w:t>BASIS FOR THE ASSERTION THAT THE</w:t>
      </w:r>
    </w:p>
    <w:p w14:paraId="1E9D3D8B" w14:textId="77777777" w:rsidR="000A01D0" w:rsidRPr="00F22B26" w:rsidRDefault="000A01D0" w:rsidP="000A01D0">
      <w:pPr>
        <w:spacing w:after="0" w:line="240" w:lineRule="auto"/>
        <w:jc w:val="center"/>
        <w:rPr>
          <w:rFonts w:ascii="Times New Roman" w:eastAsia="Times New Roman" w:hAnsi="Times New Roman" w:cs="Times New Roman"/>
          <w:b/>
          <w:sz w:val="24"/>
          <w:szCs w:val="24"/>
        </w:rPr>
      </w:pPr>
      <w:r w:rsidRPr="00F22B26">
        <w:rPr>
          <w:rFonts w:ascii="Times New Roman" w:eastAsia="Times New Roman" w:hAnsi="Times New Roman" w:cs="Times New Roman"/>
          <w:b/>
          <w:sz w:val="24"/>
          <w:szCs w:val="24"/>
        </w:rPr>
        <w:t>INFORMATION SUBMITTED IS TRADE SECRET</w:t>
      </w:r>
    </w:p>
    <w:p w14:paraId="114EC9C7" w14:textId="77777777" w:rsidR="000A01D0" w:rsidRPr="00F22B26" w:rsidRDefault="000A01D0" w:rsidP="000A01D0">
      <w:pPr>
        <w:spacing w:after="0" w:line="240" w:lineRule="auto"/>
        <w:jc w:val="center"/>
        <w:rPr>
          <w:rFonts w:ascii="Times New Roman" w:eastAsia="Times New Roman" w:hAnsi="Times New Roman" w:cs="Times New Roman"/>
          <w:sz w:val="24"/>
          <w:szCs w:val="24"/>
        </w:rPr>
      </w:pPr>
    </w:p>
    <w:p w14:paraId="169F8753" w14:textId="77777777" w:rsidR="008623CD" w:rsidRDefault="000A01D0" w:rsidP="000A01D0">
      <w:pPr>
        <w:tabs>
          <w:tab w:val="left" w:pos="72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p>
    <w:p w14:paraId="01173F31" w14:textId="5CEB432D" w:rsidR="000A01D0" w:rsidRPr="00733368" w:rsidRDefault="008623CD" w:rsidP="000A01D0">
      <w:pPr>
        <w:tabs>
          <w:tab w:val="left" w:pos="720"/>
        </w:tabs>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0A01D0" w:rsidRPr="00F22B26">
        <w:rPr>
          <w:rFonts w:ascii="Times New Roman" w:eastAsia="Times New Roman" w:hAnsi="Times New Roman" w:cs="Times New Roman"/>
          <w:sz w:val="24"/>
          <w:szCs w:val="20"/>
        </w:rPr>
        <w:t>In response to data request STF-ASR-</w:t>
      </w:r>
      <w:r w:rsidR="00B55709">
        <w:rPr>
          <w:rFonts w:ascii="Times New Roman" w:eastAsia="Times New Roman" w:hAnsi="Times New Roman" w:cs="Times New Roman"/>
          <w:sz w:val="24"/>
          <w:szCs w:val="20"/>
        </w:rPr>
        <w:t>6</w:t>
      </w:r>
      <w:r w:rsidR="00C9421E">
        <w:rPr>
          <w:rFonts w:ascii="Times New Roman" w:eastAsia="Times New Roman" w:hAnsi="Times New Roman" w:cs="Times New Roman"/>
          <w:sz w:val="24"/>
          <w:szCs w:val="20"/>
        </w:rPr>
        <w:t>5</w:t>
      </w:r>
      <w:r w:rsidR="00B55709">
        <w:rPr>
          <w:rFonts w:ascii="Times New Roman" w:eastAsia="Times New Roman" w:hAnsi="Times New Roman" w:cs="Times New Roman"/>
          <w:sz w:val="24"/>
          <w:szCs w:val="20"/>
        </w:rPr>
        <w:t>-</w:t>
      </w:r>
      <w:r w:rsidR="00EA7B43">
        <w:rPr>
          <w:rFonts w:ascii="Times New Roman" w:eastAsia="Times New Roman" w:hAnsi="Times New Roman" w:cs="Times New Roman"/>
          <w:sz w:val="24"/>
          <w:szCs w:val="20"/>
        </w:rPr>
        <w:t>1</w:t>
      </w:r>
      <w:r w:rsidR="000A01D0" w:rsidRPr="00F22B26">
        <w:rPr>
          <w:rFonts w:ascii="Times New Roman" w:eastAsia="Times New Roman" w:hAnsi="Times New Roman" w:cs="Times New Roman"/>
          <w:sz w:val="24"/>
          <w:szCs w:val="20"/>
        </w:rPr>
        <w:t xml:space="preserve">, in Georgia Public Service Commission Docket No. 36989, Georgia Power Company (the “Company”) has </w:t>
      </w:r>
      <w:r w:rsidR="000A01D0" w:rsidRPr="00733368">
        <w:rPr>
          <w:rFonts w:ascii="Times New Roman" w:eastAsia="Times New Roman" w:hAnsi="Times New Roman" w:cs="Times New Roman"/>
          <w:sz w:val="24"/>
          <w:szCs w:val="20"/>
        </w:rPr>
        <w:t xml:space="preserve">provided </w:t>
      </w:r>
      <w:r w:rsidR="00C9421E">
        <w:rPr>
          <w:rFonts w:ascii="Times New Roman" w:eastAsia="Times New Roman" w:hAnsi="Times New Roman" w:cs="Times New Roman"/>
          <w:sz w:val="24"/>
          <w:szCs w:val="20"/>
        </w:rPr>
        <w:t>contracts and amendments related to its wireless co-location program</w:t>
      </w:r>
      <w:r w:rsidR="000A01D0" w:rsidRPr="00733368">
        <w:rPr>
          <w:rFonts w:ascii="Times New Roman" w:eastAsia="Times New Roman" w:hAnsi="Times New Roman" w:cs="Times New Roman"/>
          <w:sz w:val="24"/>
          <w:szCs w:val="20"/>
        </w:rPr>
        <w:t>.</w:t>
      </w:r>
      <w:r w:rsidR="006375C3">
        <w:rPr>
          <w:rFonts w:ascii="Times New Roman" w:eastAsia="Times New Roman" w:hAnsi="Times New Roman" w:cs="Times New Roman"/>
          <w:sz w:val="24"/>
          <w:szCs w:val="20"/>
        </w:rPr>
        <w:t xml:space="preserve"> </w:t>
      </w:r>
      <w:r w:rsidR="000A01D0" w:rsidRPr="00733368">
        <w:rPr>
          <w:rFonts w:ascii="Times New Roman" w:eastAsia="Times New Roman" w:hAnsi="Times New Roman" w:cs="Times New Roman"/>
          <w:sz w:val="24"/>
          <w:szCs w:val="20"/>
        </w:rPr>
        <w:t>All of such information (the “Information”) constitutes trade secret information of</w:t>
      </w:r>
      <w:r w:rsidR="006375C3">
        <w:rPr>
          <w:rFonts w:ascii="Times New Roman" w:eastAsia="Times New Roman" w:hAnsi="Times New Roman" w:cs="Times New Roman"/>
          <w:sz w:val="24"/>
          <w:szCs w:val="20"/>
        </w:rPr>
        <w:t xml:space="preserve"> </w:t>
      </w:r>
      <w:r w:rsidR="000A01D0" w:rsidRPr="00733368">
        <w:rPr>
          <w:rFonts w:ascii="Times New Roman" w:eastAsia="Times New Roman" w:hAnsi="Times New Roman" w:cs="Times New Roman"/>
          <w:sz w:val="24"/>
          <w:szCs w:val="20"/>
        </w:rPr>
        <w:t>Southern Company, Georgia Power, and its affiliates and is therefore protected from public disclosure under Commission Rule 515-3-1-.11.</w:t>
      </w:r>
    </w:p>
    <w:p w14:paraId="73DFEB94" w14:textId="77777777" w:rsidR="000A01D0" w:rsidRPr="00F22B26" w:rsidRDefault="000A01D0" w:rsidP="000A01D0">
      <w:pPr>
        <w:spacing w:after="0" w:line="240" w:lineRule="auto"/>
        <w:rPr>
          <w:rFonts w:ascii="Times New Roman" w:eastAsia="Times New Roman" w:hAnsi="Times New Roman" w:cs="Times New Roman"/>
          <w:sz w:val="24"/>
          <w:szCs w:val="24"/>
        </w:rPr>
      </w:pPr>
    </w:p>
    <w:p w14:paraId="32A1BEAB" w14:textId="5D7EEFC2" w:rsidR="00CC004E" w:rsidRDefault="00CC004E" w:rsidP="00CC004E">
      <w:pPr>
        <w:spacing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the Information contains </w:t>
      </w:r>
      <w:bookmarkStart w:id="1" w:name="OLE_LINK3"/>
      <w:r>
        <w:rPr>
          <w:rFonts w:ascii="Times New Roman" w:hAnsi="Times New Roman" w:cs="Times New Roman"/>
          <w:sz w:val="24"/>
          <w:szCs w:val="24"/>
        </w:rPr>
        <w:t xml:space="preserve">details regarding contracts with third party communication service providers for its wireless co-location program.  If the Information was revealed to the public, other third party service providers could use the Information to tailor proposals to set prices or propose favorable arrangements comparable to contracts with other service providers to the detriment of ratepayers. </w:t>
      </w:r>
      <w:bookmarkEnd w:id="1"/>
      <w:r>
        <w:rPr>
          <w:rFonts w:ascii="Times New Roman" w:hAnsi="Times New Roman" w:cs="Times New Roman"/>
          <w:sz w:val="24"/>
          <w:szCs w:val="24"/>
        </w:rPr>
        <w:t xml:space="preserve"> </w:t>
      </w:r>
      <w:r w:rsidR="00D31890">
        <w:rPr>
          <w:rFonts w:ascii="Times New Roman" w:hAnsi="Times New Roman" w:cs="Times New Roman"/>
          <w:sz w:val="24"/>
          <w:szCs w:val="24"/>
        </w:rPr>
        <w:t xml:space="preserve">The Information is proprietary based on negotiated rates with other third party service providers that are subject to mutual non-disclosure agreements. </w:t>
      </w:r>
      <w:r>
        <w:rPr>
          <w:rFonts w:ascii="Times New Roman" w:hAnsi="Times New Roman" w:cs="Times New Roman"/>
          <w:sz w:val="24"/>
          <w:szCs w:val="24"/>
        </w:rPr>
        <w:t xml:space="preserve">As such, disclosure of the Information could harm the Company in its efforts to obtain optimal pricing in current or future negotiations for services.  </w:t>
      </w:r>
    </w:p>
    <w:p w14:paraId="4F38BFD8" w14:textId="77777777" w:rsidR="000A01D0" w:rsidRPr="00733368" w:rsidRDefault="000A01D0" w:rsidP="000A01D0">
      <w:pPr>
        <w:spacing w:after="0" w:line="240" w:lineRule="auto"/>
        <w:jc w:val="both"/>
        <w:rPr>
          <w:rFonts w:ascii="Times New Roman" w:eastAsia="Times New Roman" w:hAnsi="Times New Roman" w:cs="Times New Roman"/>
          <w:sz w:val="24"/>
          <w:szCs w:val="24"/>
        </w:rPr>
      </w:pPr>
      <w:r w:rsidRPr="00733368">
        <w:rPr>
          <w:rFonts w:ascii="Times New Roman" w:eastAsia="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4F24B169" w14:textId="77777777" w:rsidR="000A01D0" w:rsidRPr="00EC4155" w:rsidRDefault="000A01D0" w:rsidP="00EC4155">
      <w:pPr>
        <w:tabs>
          <w:tab w:val="center" w:pos="4320"/>
          <w:tab w:val="right" w:pos="8640"/>
        </w:tabs>
        <w:spacing w:after="0" w:line="240" w:lineRule="auto"/>
        <w:jc w:val="center"/>
        <w:rPr>
          <w:rFonts w:ascii="Times New Roman" w:eastAsia="Times New Roman" w:hAnsi="Times New Roman" w:cs="Times New Roman"/>
          <w:b/>
          <w:bCs/>
          <w:sz w:val="24"/>
          <w:szCs w:val="24"/>
        </w:rPr>
      </w:pPr>
    </w:p>
    <w:p w14:paraId="4DB6F138" w14:textId="77777777" w:rsidR="00373EC7" w:rsidRDefault="00373EC7">
      <w:pPr>
        <w:rPr>
          <w:rFonts w:ascii="Times New Roman" w:eastAsia="Times New Roman" w:hAnsi="Times New Roman" w:cs="Times New Roman"/>
          <w:sz w:val="24"/>
          <w:szCs w:val="24"/>
        </w:rPr>
      </w:pPr>
    </w:p>
    <w:sectPr w:rsidR="00373EC7" w:rsidSect="002A517B">
      <w:headerReference w:type="default" r:id="rId7"/>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41A4A" w14:textId="77777777" w:rsidR="008E536E" w:rsidRDefault="008E536E" w:rsidP="008E536E">
      <w:pPr>
        <w:spacing w:after="0" w:line="240" w:lineRule="auto"/>
      </w:pPr>
      <w:r>
        <w:separator/>
      </w:r>
    </w:p>
  </w:endnote>
  <w:endnote w:type="continuationSeparator" w:id="0">
    <w:p w14:paraId="438C0F0A" w14:textId="77777777" w:rsidR="008E536E" w:rsidRDefault="008E536E" w:rsidP="008E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4D691DBD" w14:textId="77777777"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Richard Dodd</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0D6A5" w14:textId="77777777" w:rsidR="008E536E" w:rsidRDefault="008E536E" w:rsidP="008E536E">
      <w:pPr>
        <w:spacing w:after="0" w:line="240" w:lineRule="auto"/>
      </w:pPr>
      <w:r>
        <w:separator/>
      </w:r>
    </w:p>
  </w:footnote>
  <w:footnote w:type="continuationSeparator" w:id="0">
    <w:p w14:paraId="146C1120" w14:textId="77777777" w:rsidR="008E536E" w:rsidRDefault="008E536E" w:rsidP="008E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18F1D" w14:textId="77777777" w:rsidR="002A517B" w:rsidRPr="002A517B" w:rsidRDefault="002A517B" w:rsidP="002A517B">
    <w:pPr>
      <w:pStyle w:val="Header"/>
      <w:jc w:val="center"/>
      <w:rPr>
        <w:rFonts w:ascii="Times New Roman" w:hAnsi="Times New Roman" w:cs="Times New Roman"/>
        <w:b/>
        <w:color w:val="FF0000"/>
      </w:rPr>
    </w:pPr>
    <w:r w:rsidRPr="002A517B">
      <w:rPr>
        <w:rFonts w:ascii="Times New Roman" w:hAnsi="Times New Roman" w:cs="Times New Roman"/>
        <w:b/>
        <w:color w:val="FF0000"/>
      </w:rPr>
      <w:t>TRADE SECRET</w:t>
    </w:r>
  </w:p>
  <w:p w14:paraId="1DFC1498" w14:textId="77777777" w:rsidR="002A517B" w:rsidRDefault="002A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2194D"/>
    <w:multiLevelType w:val="hybridMultilevel"/>
    <w:tmpl w:val="CE007A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FD787C"/>
    <w:multiLevelType w:val="hybridMultilevel"/>
    <w:tmpl w:val="D8408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7"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3F097657"/>
    <w:multiLevelType w:val="hybridMultilevel"/>
    <w:tmpl w:val="D84087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513F41"/>
    <w:multiLevelType w:val="hybridMultilevel"/>
    <w:tmpl w:val="D17C0A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6"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4E0E16"/>
    <w:multiLevelType w:val="hybridMultilevel"/>
    <w:tmpl w:val="F6189144"/>
    <w:lvl w:ilvl="0" w:tplc="A3E61A9A">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237C83"/>
    <w:multiLevelType w:val="hybridMultilevel"/>
    <w:tmpl w:val="71BCD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num w:numId="1">
    <w:abstractNumId w:val="17"/>
  </w:num>
  <w:num w:numId="2">
    <w:abstractNumId w:val="21"/>
  </w:num>
  <w:num w:numId="3">
    <w:abstractNumId w:val="15"/>
  </w:num>
  <w:num w:numId="4">
    <w:abstractNumId w:val="1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5"/>
  </w:num>
  <w:num w:numId="9">
    <w:abstractNumId w:val="30"/>
  </w:num>
  <w:num w:numId="10">
    <w:abstractNumId w:val="1"/>
  </w:num>
  <w:num w:numId="11">
    <w:abstractNumId w:val="26"/>
  </w:num>
  <w:num w:numId="12">
    <w:abstractNumId w:val="7"/>
  </w:num>
  <w:num w:numId="13">
    <w:abstractNumId w:val="9"/>
  </w:num>
  <w:num w:numId="14">
    <w:abstractNumId w:val="4"/>
  </w:num>
  <w:num w:numId="15">
    <w:abstractNumId w:val="29"/>
  </w:num>
  <w:num w:numId="16">
    <w:abstractNumId w:val="18"/>
  </w:num>
  <w:num w:numId="17">
    <w:abstractNumId w:val="11"/>
  </w:num>
  <w:num w:numId="18">
    <w:abstractNumId w:val="11"/>
  </w:num>
  <w:num w:numId="19">
    <w:abstractNumId w:val="11"/>
  </w:num>
  <w:num w:numId="20">
    <w:abstractNumId w:val="6"/>
  </w:num>
  <w:num w:numId="21">
    <w:abstractNumId w:val="14"/>
  </w:num>
  <w:num w:numId="22">
    <w:abstractNumId w:val="3"/>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5"/>
  </w:num>
  <w:num w:numId="29">
    <w:abstractNumId w:val="22"/>
  </w:num>
  <w:num w:numId="30">
    <w:abstractNumId w:val="19"/>
  </w:num>
  <w:num w:numId="31">
    <w:abstractNumId w:val="12"/>
  </w:num>
  <w:num w:numId="32">
    <w:abstractNumId w:val="13"/>
  </w:num>
  <w:num w:numId="33">
    <w:abstractNumId w:val="0"/>
  </w:num>
  <w:num w:numId="34">
    <w:abstractNumId w:val="24"/>
  </w:num>
  <w:num w:numId="35">
    <w:abstractNumId w:val="10"/>
  </w:num>
  <w:num w:numId="36">
    <w:abstractNumId w:val="23"/>
  </w:num>
  <w:num w:numId="37">
    <w:abstractNumId w:val="28"/>
  </w:num>
  <w:num w:numId="38">
    <w:abstractNumId w:val="2"/>
  </w:num>
  <w:num w:numId="39">
    <w:abstractNumId w:val="27"/>
  </w:num>
  <w:num w:numId="40">
    <w:abstractNumId w:val="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efaultTabStop w:val="720"/>
  <w:characterSpacingControl w:val="doNotCompress"/>
  <w:hdrShapeDefaults>
    <o:shapedefaults v:ext="edit" spidmax="2048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4652F"/>
    <w:rsid w:val="000671DE"/>
    <w:rsid w:val="00077E11"/>
    <w:rsid w:val="000A01D0"/>
    <w:rsid w:val="000B5B21"/>
    <w:rsid w:val="000C7368"/>
    <w:rsid w:val="000E0666"/>
    <w:rsid w:val="000E4330"/>
    <w:rsid w:val="000E78A1"/>
    <w:rsid w:val="00106B37"/>
    <w:rsid w:val="0011441F"/>
    <w:rsid w:val="00121AD8"/>
    <w:rsid w:val="00134851"/>
    <w:rsid w:val="0013720D"/>
    <w:rsid w:val="00164AA1"/>
    <w:rsid w:val="0018193D"/>
    <w:rsid w:val="00184580"/>
    <w:rsid w:val="00185642"/>
    <w:rsid w:val="00191E6B"/>
    <w:rsid w:val="001B2187"/>
    <w:rsid w:val="001E1F4A"/>
    <w:rsid w:val="001E4976"/>
    <w:rsid w:val="00212235"/>
    <w:rsid w:val="00216713"/>
    <w:rsid w:val="002213A7"/>
    <w:rsid w:val="0022357A"/>
    <w:rsid w:val="00223958"/>
    <w:rsid w:val="0022464B"/>
    <w:rsid w:val="00227F11"/>
    <w:rsid w:val="002477D9"/>
    <w:rsid w:val="00253125"/>
    <w:rsid w:val="00271FA3"/>
    <w:rsid w:val="002822A3"/>
    <w:rsid w:val="002A517B"/>
    <w:rsid w:val="002C0834"/>
    <w:rsid w:val="002E7AB7"/>
    <w:rsid w:val="002F3874"/>
    <w:rsid w:val="002F49AB"/>
    <w:rsid w:val="00300F74"/>
    <w:rsid w:val="003341FF"/>
    <w:rsid w:val="00337945"/>
    <w:rsid w:val="003619AB"/>
    <w:rsid w:val="003643BE"/>
    <w:rsid w:val="00372A1A"/>
    <w:rsid w:val="00373EC7"/>
    <w:rsid w:val="0037412F"/>
    <w:rsid w:val="0038180D"/>
    <w:rsid w:val="00391B20"/>
    <w:rsid w:val="003C1400"/>
    <w:rsid w:val="003C3C68"/>
    <w:rsid w:val="003C64B0"/>
    <w:rsid w:val="003D3657"/>
    <w:rsid w:val="004351C8"/>
    <w:rsid w:val="0046102E"/>
    <w:rsid w:val="00472B19"/>
    <w:rsid w:val="0047609B"/>
    <w:rsid w:val="004834AD"/>
    <w:rsid w:val="004914BA"/>
    <w:rsid w:val="00495A05"/>
    <w:rsid w:val="00497E9D"/>
    <w:rsid w:val="004B0F16"/>
    <w:rsid w:val="004D18B2"/>
    <w:rsid w:val="004D496B"/>
    <w:rsid w:val="00500819"/>
    <w:rsid w:val="00507726"/>
    <w:rsid w:val="0053335D"/>
    <w:rsid w:val="0054657C"/>
    <w:rsid w:val="005A0446"/>
    <w:rsid w:val="005A2EBC"/>
    <w:rsid w:val="005A5783"/>
    <w:rsid w:val="005C4DC7"/>
    <w:rsid w:val="005D0CAE"/>
    <w:rsid w:val="005D3434"/>
    <w:rsid w:val="005F0AE0"/>
    <w:rsid w:val="005F429B"/>
    <w:rsid w:val="006053A6"/>
    <w:rsid w:val="00621EAD"/>
    <w:rsid w:val="0063494D"/>
    <w:rsid w:val="006355C4"/>
    <w:rsid w:val="006375C3"/>
    <w:rsid w:val="006522F3"/>
    <w:rsid w:val="00652FC5"/>
    <w:rsid w:val="006648EC"/>
    <w:rsid w:val="0068180E"/>
    <w:rsid w:val="00687547"/>
    <w:rsid w:val="0069557B"/>
    <w:rsid w:val="006A0881"/>
    <w:rsid w:val="006B1095"/>
    <w:rsid w:val="006C00CD"/>
    <w:rsid w:val="006E185D"/>
    <w:rsid w:val="006E7E7B"/>
    <w:rsid w:val="006F10E6"/>
    <w:rsid w:val="00734DCD"/>
    <w:rsid w:val="00746B01"/>
    <w:rsid w:val="00775815"/>
    <w:rsid w:val="00785083"/>
    <w:rsid w:val="0079446E"/>
    <w:rsid w:val="007A6A23"/>
    <w:rsid w:val="007B63A2"/>
    <w:rsid w:val="007F299F"/>
    <w:rsid w:val="007F7D6E"/>
    <w:rsid w:val="00807247"/>
    <w:rsid w:val="0081183F"/>
    <w:rsid w:val="00814B88"/>
    <w:rsid w:val="0083311E"/>
    <w:rsid w:val="00842989"/>
    <w:rsid w:val="008623CD"/>
    <w:rsid w:val="00876E38"/>
    <w:rsid w:val="008B7035"/>
    <w:rsid w:val="008C3B60"/>
    <w:rsid w:val="008E536E"/>
    <w:rsid w:val="008E7EB6"/>
    <w:rsid w:val="008F3E07"/>
    <w:rsid w:val="00912F2A"/>
    <w:rsid w:val="0093176F"/>
    <w:rsid w:val="009438EF"/>
    <w:rsid w:val="0095225F"/>
    <w:rsid w:val="00957E66"/>
    <w:rsid w:val="0097235F"/>
    <w:rsid w:val="00984674"/>
    <w:rsid w:val="009A3EEF"/>
    <w:rsid w:val="009B22EF"/>
    <w:rsid w:val="009B4D48"/>
    <w:rsid w:val="009D5FA8"/>
    <w:rsid w:val="009E059C"/>
    <w:rsid w:val="009E11D7"/>
    <w:rsid w:val="009E55DB"/>
    <w:rsid w:val="009F5FF7"/>
    <w:rsid w:val="00A11724"/>
    <w:rsid w:val="00A12D58"/>
    <w:rsid w:val="00A23258"/>
    <w:rsid w:val="00A45571"/>
    <w:rsid w:val="00A63148"/>
    <w:rsid w:val="00A63264"/>
    <w:rsid w:val="00AC0663"/>
    <w:rsid w:val="00AD2D06"/>
    <w:rsid w:val="00AD4D72"/>
    <w:rsid w:val="00AE1B6C"/>
    <w:rsid w:val="00AE384E"/>
    <w:rsid w:val="00AF4840"/>
    <w:rsid w:val="00AF4A6C"/>
    <w:rsid w:val="00B10322"/>
    <w:rsid w:val="00B25D8F"/>
    <w:rsid w:val="00B30FEA"/>
    <w:rsid w:val="00B55709"/>
    <w:rsid w:val="00B857C2"/>
    <w:rsid w:val="00B94E15"/>
    <w:rsid w:val="00BB32B9"/>
    <w:rsid w:val="00BB7AB2"/>
    <w:rsid w:val="00BC26CD"/>
    <w:rsid w:val="00BE2D85"/>
    <w:rsid w:val="00BE39FE"/>
    <w:rsid w:val="00BE42F0"/>
    <w:rsid w:val="00BE5678"/>
    <w:rsid w:val="00C07063"/>
    <w:rsid w:val="00C41612"/>
    <w:rsid w:val="00C9421E"/>
    <w:rsid w:val="00C96F8D"/>
    <w:rsid w:val="00CC004E"/>
    <w:rsid w:val="00CC25D8"/>
    <w:rsid w:val="00CF1961"/>
    <w:rsid w:val="00D31890"/>
    <w:rsid w:val="00D31C71"/>
    <w:rsid w:val="00D5577D"/>
    <w:rsid w:val="00D55DB5"/>
    <w:rsid w:val="00D657BD"/>
    <w:rsid w:val="00D92295"/>
    <w:rsid w:val="00DA1AC1"/>
    <w:rsid w:val="00DC0EFB"/>
    <w:rsid w:val="00DC53DF"/>
    <w:rsid w:val="00DD0A9F"/>
    <w:rsid w:val="00E06234"/>
    <w:rsid w:val="00E14D34"/>
    <w:rsid w:val="00E23ECE"/>
    <w:rsid w:val="00E34E6E"/>
    <w:rsid w:val="00E37389"/>
    <w:rsid w:val="00E419CB"/>
    <w:rsid w:val="00E76C2C"/>
    <w:rsid w:val="00E8308A"/>
    <w:rsid w:val="00E858D6"/>
    <w:rsid w:val="00EA3163"/>
    <w:rsid w:val="00EA7B43"/>
    <w:rsid w:val="00EB00F0"/>
    <w:rsid w:val="00EB6339"/>
    <w:rsid w:val="00EC1586"/>
    <w:rsid w:val="00EC183E"/>
    <w:rsid w:val="00EC4155"/>
    <w:rsid w:val="00ED2367"/>
    <w:rsid w:val="00EE6FD3"/>
    <w:rsid w:val="00EF019F"/>
    <w:rsid w:val="00EF1964"/>
    <w:rsid w:val="00EF575C"/>
    <w:rsid w:val="00F13772"/>
    <w:rsid w:val="00F1420F"/>
    <w:rsid w:val="00F17260"/>
    <w:rsid w:val="00F228CA"/>
    <w:rsid w:val="00F26E05"/>
    <w:rsid w:val="00F32E97"/>
    <w:rsid w:val="00F407A2"/>
    <w:rsid w:val="00F416A1"/>
    <w:rsid w:val="00F46404"/>
    <w:rsid w:val="00F63403"/>
    <w:rsid w:val="00F8158D"/>
    <w:rsid w:val="00F83B7B"/>
    <w:rsid w:val="00FA1316"/>
    <w:rsid w:val="00FB19A4"/>
    <w:rsid w:val="00FB5F22"/>
    <w:rsid w:val="00FC7080"/>
    <w:rsid w:val="00FD5F03"/>
    <w:rsid w:val="00FE0AFC"/>
    <w:rsid w:val="00FE537C"/>
    <w:rsid w:val="00FE5DFD"/>
    <w:rsid w:val="00FE68C8"/>
    <w:rsid w:val="00FF7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30888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character" w:customStyle="1" w:styleId="ListParagraphChar">
    <w:name w:val="List Paragraph Char"/>
    <w:link w:val="ListParagraph"/>
    <w:uiPriority w:val="34"/>
    <w:rsid w:val="00F17260"/>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220507852">
      <w:bodyDiv w:val="1"/>
      <w:marLeft w:val="0"/>
      <w:marRight w:val="0"/>
      <w:marTop w:val="0"/>
      <w:marBottom w:val="0"/>
      <w:divBdr>
        <w:top w:val="none" w:sz="0" w:space="0" w:color="auto"/>
        <w:left w:val="none" w:sz="0" w:space="0" w:color="auto"/>
        <w:bottom w:val="none" w:sz="0" w:space="0" w:color="auto"/>
        <w:right w:val="none" w:sz="0" w:space="0" w:color="auto"/>
      </w:divBdr>
    </w:div>
    <w:div w:id="1745882380">
      <w:bodyDiv w:val="1"/>
      <w:marLeft w:val="0"/>
      <w:marRight w:val="0"/>
      <w:marTop w:val="0"/>
      <w:marBottom w:val="0"/>
      <w:divBdr>
        <w:top w:val="none" w:sz="0" w:space="0" w:color="auto"/>
        <w:left w:val="none" w:sz="0" w:space="0" w:color="auto"/>
        <w:bottom w:val="none" w:sz="0" w:space="0" w:color="auto"/>
        <w:right w:val="none" w:sz="0" w:space="0" w:color="auto"/>
      </w:divBdr>
    </w:div>
    <w:div w:id="174779806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1699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2020-08-05T13:22:00Z</dcterms:created>
  <dcterms:modified xsi:type="dcterms:W3CDTF">2020-11-30T01:08:00Z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